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2007/112 vom 12. Februar 2008</w:t>
      </w:r>
    </w:p>
    <w:p>
      <w:r>
        <w:t>Sg Verwaltungsgericht, 2008-02-12, DE</w:t>
      </w:r>
    </w:p>
    <w:p>
      <w:r>
        <w:rPr>
          <w:b/>
        </w:rPr>
        <w:t xml:space="preserve">Quelle: </w:t>
      </w:r>
      <w:r>
        <w:t>https://mcp.opencaselaw.ch/entscheid/sg_publikationen_B 2007_112</w:t>
      </w:r>
    </w:p>
    <w:p>
      <w:r>
        <w:t>FR: SG_VERWALTUNGSGERICHT B 2007/112 du 12 février 2008</w:t>
      </w:r>
    </w:p>
    <w:p>
      <w:r>
        <w:t>IT: SG_VERWALTUNGSGERICHT B 2007/112 del 12 febbraio 2008</w:t>
      </w:r>
    </w:p>
    <w:p>
      <w:pPr>
        <w:pStyle w:val="Heading2"/>
      </w:pPr>
      <w:r>
        <w:t>Regeste</w:t>
      </w:r>
    </w:p>
    <w:p>
      <w:r>
        <w:t>Bau- und Planungsrecht, Art. 24c und Art. 24d Abs. 1bis RPG (SR 700), Art. 42 RPV (SR 700.1). Zonenwidrige Bauten und Anlagen ausserhalb der Bauzone können erneuert, teilweise geändert, massvoll erweitert oder wiederaufgebaut werden, sofern sie rechtmässig erstellt worden sind. Da bereits der bewilligte Wiederaufbau eines Landhauses ausserhalb der Bauzone über das zulässige Erweiterungsmass hinausging, fällt eine nachträgliche Bewilligung von zusätzlichen, ohne Baubewilligung erstellten Erweiterungen ausser Betracht. Der Bau eines nicht landwirtschaftlich genutzten Stalls ausserhalb der Bauzone kann zudem nicht als notwendige Aussenanlage im Sinne des neuen Art. 24d Abs. 1bis RPG gelten. Der Rückbau der ohne Bewilligung erstellten An- und Nebenbauten ist auch dann mit dem Verhältnismässigkeitsprinzip vereinbar, wenn das Grundstück von aussen nicht einsehbar ist (Verwaltungsgericht, B 2007/112).</w:t>
      </w:r>
    </w:p>
    <w:p>
      <w:pPr>
        <w:pStyle w:val="Heading2"/>
      </w:pPr>
      <w:r>
        <w:t>Erwägungen</w:t>
      </w:r>
    </w:p>
    <w:p>
      <w:r>
        <w:rPr>
          <w:b/>
        </w:rPr>
        <w:t>E. 2</w:t>
      </w:r>
    </w:p>
    <w:p>
      <w:r>
        <w:t>Parzelle Nr. 2 eingeschlossen, auf der sich die Parklandschaft fortsetzt. Zudem befindet sich im Westen dieser Parzelle ein grosses eingeschossiges Gartenhaus aus Holz, ein Metall-Glashaus für die Tomatenzucht sowie im Osten ein zweigeschossiges Gerätehaus mit Tierstall aus Holz, das direkt am Waldrand an einem Steilhang auf vier Betonpfeilern steht. Im Stall, der über Wasser- und Stromanschluss verfügt, sind Geräte eingestellt und Hühner untergebracht. Im Untergeschoss sind einige Zwergziegen und zwei kleine Schweine eingestallt. Die Zustimmung für den Abbruch des Wohnhauses und den Wiederaufbau des heutigen Ersatzbaus erteilte das Planungsamt (vom 1. Februar 2003 bis 31. Dezember 2007 Amt für Raumentwicklung, abgekürzt ARE; heute Amt für Raumentwicklung und Geoinformation, abgekürzt AREG) wiedererwägungsweise am 25. August 1997 (vi-act. 6/3), nachdem es am 18. September 1996 die Zustimmung verweigert hatte. Der Gemeinderat G. erteilte am 2. September 1997 der Bauherrschaft die entsprechende Bewilligung (vi-act. 6/2). Für die Überschreitung der Gebäudehöhe, der Geschosszahl und der Gebäudelänge erteilte er eine Ausnahmebewilligung. Zudem verband er mit der Bewilligung - entsprechend den Vorgaben des Planungsamtes - u.a. eine im Grundbuch einzutragende öffentlich-rechtliche Beschränkung der Nutzungserweiterung für die Parzelle Nr. 1. Am 20. Januar 1998 erteilte der Gemeinderat - ohne Beizug des Planungsamtes - weitere Nachtragsbewilligungen (vi-act. 6/4). Wiederum ohne Beizug der kantonalen Behörde wurden am 12. Mai 1998 Lageänderungen des Projekts sowie am 12. Januar 1999 verschiedene Revisionspläne für Anpassungen am Bauvorhaben vom Gemeinderat G. gutgeheissen (vi-act. 6/5 und 6). Anlässlich eines Augenscheins vom 17. August 1999 stellte der Gemeinderat G. erhebliche Abweichungen vom bewilligten Umgebungsplan fest. Diese Abweichungen wurden ohne Beizug des Planungsamtes mit Beschluss vom 24. August 1999 genehmigt; der Gemeinderat G. erteilte der Bauherrschaft bzw. dem Gartenbauunternehmen einen Verweis für das eigenmächtige Vorgehen (vi-act. 6/8). Bei der Abnahme der Wohnbaute am 20. Dezember 1999 wurde zudem bemerkt, dass - obwohl das Planungsamt mit Zustimmungsverfügung vom 25. August 1997 ausdrücklich festgehalten hatte, dass auf ein Dachgeschoss zu verzichten sei - im Obergeschoss der beiden Wohnflügel eine Decke eingezogen worden ist. Der Gemeinderat bewilligte auch diese Abweichung nachträglich mit Beschluss vom 25. Januar 2000 (vi-act. 6/9 und 10). Bei der Abnahme der Umgebungsarbeiten am 15. September 2000 stellte die Gemeindebehörde wiederum Abweichungen von den bewilligten Plänen fest. Die Bauherrschaft wurde in der Verfügung vom 19. September 2000 dazu aufgefordert, für die ohne Baubewilligung erstellten Bauten (Wintergarten, Pizzaofen bzw. Backhaus, Gerätehaus inkl. Tierstall) bis Ende Oktober 2000 ein nachträgliches Baugesuch einzureichen (vi-act. 6/11). Das Bauanzeige- und Auflageverfahren datiert vom 17. November bis 1. Dezember 2000 und konnte ohne Einsprachen abgeschlossen werden. Das Baugesuch wurde in der Folge der kantonalen Behörde zur nachträglichen Zustimmung übermittelt. Diese führte am 7. März 2001 einen Augenschein durch und sistierte das Verfahren im Hinblick auf die hängige Revision des Bundesgesetzes über die Raumplanung (SR 700, abgekürzt RPG). Nach Verabschiedung der Teilrevision durch den Bundesrat nahm das ARE das Verfahren wieder auf und erteilte mit Verfügung vom 31. Januar 2006 (vi-act. 6/13) die Zustimmung für die Umgebungsgestaltung (bzw. zur "Bewilligung" des Gemeinderates vom 24. August 1999; Ziff. 1), verweigerte aber die Zustimmung gemäss Art. 87 bis des Baugesetzes (sGS 731.1, abgekürzt BauG) für den Anbau des Wintergartens sowie für den Bau des Gerätehauses inkl. Tierstall und des Pizzaofens (Ziff. 2). Zudem erteilte es die Zustimmung nach Art. 77 Abs. 2 BauG für die Unterschreitung des Waldabstandes durch das Gerätehaus nicht (Ziff. 3). In den Ziffern 4 und 5 forderte es den Gemeinderat auf, die Wiederherstellung des rechtmässigen Zustandes im Rahmen des Gesamtentscheids anzuordnen und eine entsprechende öffentlich-rechtliche Eigentumsbeschränkung anzumerken. Gestützt auf diese Verfügung des ARE verweigerte der Gemeinderat G. am 20. Februar 2006 die nachträgliche Bewilligung und verfügte wie folgt (vi-act. 6/14):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